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B5" w:rsidRPr="00A555B6" w:rsidRDefault="008D7572" w:rsidP="000429B5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-88265</wp:posOffset>
            </wp:positionV>
            <wp:extent cx="501650" cy="433070"/>
            <wp:effectExtent l="0" t="0" r="0" b="5080"/>
            <wp:wrapTight wrapText="bothSides">
              <wp:wrapPolygon edited="0">
                <wp:start x="4922" y="0"/>
                <wp:lineTo x="0" y="2850"/>
                <wp:lineTo x="0" y="16152"/>
                <wp:lineTo x="4101" y="20903"/>
                <wp:lineTo x="4922" y="20903"/>
                <wp:lineTo x="13944" y="20903"/>
                <wp:lineTo x="14765" y="20903"/>
                <wp:lineTo x="18866" y="15202"/>
                <wp:lineTo x="20506" y="10452"/>
                <wp:lineTo x="20506" y="2850"/>
                <wp:lineTo x="19686" y="0"/>
                <wp:lineTo x="4922" y="0"/>
              </wp:wrapPolygon>
            </wp:wrapTight>
            <wp:docPr id="1" name="Picture 1" descr="Výsledek obrázku pro gs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gs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9B5" w:rsidRPr="00A555B6" w:rsidRDefault="000429B5" w:rsidP="000429B5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555B6">
        <w:rPr>
          <w:rFonts w:ascii="Times New Roman" w:hAnsi="Times New Roman" w:cs="Times New Roman"/>
          <w:sz w:val="24"/>
        </w:rPr>
        <w:t>MUDr. ………………………………….</w:t>
      </w: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A555B6">
        <w:rPr>
          <w:rFonts w:ascii="Times New Roman" w:hAnsi="Times New Roman" w:cs="Times New Roman"/>
          <w:b/>
          <w:bCs/>
          <w:sz w:val="24"/>
        </w:rPr>
        <w:t xml:space="preserve">Objednávka </w:t>
      </w:r>
      <w:r w:rsidR="00B775BB">
        <w:rPr>
          <w:rFonts w:ascii="Times New Roman" w:hAnsi="Times New Roman" w:cs="Times New Roman"/>
          <w:b/>
          <w:bCs/>
          <w:sz w:val="24"/>
        </w:rPr>
        <w:t>léčivého přípravku</w:t>
      </w:r>
      <w:r w:rsidRPr="00A555B6">
        <w:rPr>
          <w:rFonts w:ascii="Times New Roman" w:hAnsi="Times New Roman" w:cs="Times New Roman"/>
          <w:b/>
          <w:bCs/>
          <w:sz w:val="24"/>
        </w:rPr>
        <w:t xml:space="preserve"> Bexsero pro rizikové skupiny</w:t>
      </w:r>
      <w:r w:rsidR="001A2DF3">
        <w:rPr>
          <w:rFonts w:ascii="Times New Roman" w:hAnsi="Times New Roman" w:cs="Times New Roman"/>
          <w:b/>
          <w:bCs/>
          <w:sz w:val="24"/>
        </w:rPr>
        <w:t xml:space="preserve"> pacientů</w:t>
      </w: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0429B5">
      <w:pPr>
        <w:jc w:val="both"/>
        <w:rPr>
          <w:rFonts w:ascii="Times New Roman" w:hAnsi="Times New Roman" w:cs="Times New Roman"/>
          <w:sz w:val="24"/>
        </w:rPr>
      </w:pPr>
      <w:r w:rsidRPr="00A555B6">
        <w:rPr>
          <w:rFonts w:ascii="Times New Roman" w:hAnsi="Times New Roman" w:cs="Times New Roman"/>
          <w:sz w:val="24"/>
        </w:rPr>
        <w:t>Dle ust. § 30 odst. 2 písm. b) bod 7 zákona č. 48/1997 Sb., o veřejném zdravotním pojištění, ve znění účinném od 1.</w:t>
      </w:r>
      <w:r w:rsidR="00187BAC">
        <w:rPr>
          <w:rFonts w:ascii="Times New Roman" w:hAnsi="Times New Roman" w:cs="Times New Roman"/>
          <w:sz w:val="24"/>
        </w:rPr>
        <w:t xml:space="preserve"> </w:t>
      </w:r>
      <w:r w:rsidRPr="00A555B6">
        <w:rPr>
          <w:rFonts w:ascii="Times New Roman" w:hAnsi="Times New Roman" w:cs="Times New Roman"/>
          <w:sz w:val="24"/>
        </w:rPr>
        <w:t>1.</w:t>
      </w:r>
      <w:r w:rsidR="00187BAC">
        <w:rPr>
          <w:rFonts w:ascii="Times New Roman" w:hAnsi="Times New Roman" w:cs="Times New Roman"/>
          <w:sz w:val="24"/>
        </w:rPr>
        <w:t xml:space="preserve"> </w:t>
      </w:r>
      <w:r w:rsidRPr="00A555B6">
        <w:rPr>
          <w:rFonts w:ascii="Times New Roman" w:hAnsi="Times New Roman" w:cs="Times New Roman"/>
          <w:sz w:val="24"/>
        </w:rPr>
        <w:t>2018, je nově hrazena vakcinace proti meningokokovým onemocněním pro rizikové skupiny</w:t>
      </w:r>
      <w:r w:rsidR="001A2DF3">
        <w:rPr>
          <w:rFonts w:ascii="Times New Roman" w:hAnsi="Times New Roman" w:cs="Times New Roman"/>
          <w:sz w:val="24"/>
        </w:rPr>
        <w:t xml:space="preserve"> pacientů</w:t>
      </w:r>
      <w:r w:rsidRPr="00A555B6">
        <w:rPr>
          <w:rFonts w:ascii="Times New Roman" w:hAnsi="Times New Roman" w:cs="Times New Roman"/>
          <w:sz w:val="24"/>
        </w:rPr>
        <w:t xml:space="preserve">. </w:t>
      </w:r>
      <w:r w:rsidR="00B775BB">
        <w:rPr>
          <w:rFonts w:ascii="Times New Roman" w:hAnsi="Times New Roman" w:cs="Times New Roman"/>
          <w:sz w:val="24"/>
        </w:rPr>
        <w:t>Léčivý p</w:t>
      </w:r>
      <w:r w:rsidRPr="00A555B6">
        <w:rPr>
          <w:rFonts w:ascii="Times New Roman" w:hAnsi="Times New Roman" w:cs="Times New Roman"/>
          <w:sz w:val="24"/>
        </w:rPr>
        <w:t>řípravek GSK Bexsero spadá do kategorie vakcín hrazených pro rizikové skupiny</w:t>
      </w:r>
      <w:r w:rsidR="001A2DF3">
        <w:rPr>
          <w:rFonts w:ascii="Times New Roman" w:hAnsi="Times New Roman" w:cs="Times New Roman"/>
          <w:sz w:val="24"/>
        </w:rPr>
        <w:t xml:space="preserve"> pacientů</w:t>
      </w:r>
      <w:r w:rsidRPr="00A555B6">
        <w:rPr>
          <w:rFonts w:ascii="Times New Roman" w:hAnsi="Times New Roman" w:cs="Times New Roman"/>
          <w:sz w:val="24"/>
        </w:rPr>
        <w:t xml:space="preserve">. </w:t>
      </w:r>
      <w:r w:rsidR="00B775BB">
        <w:rPr>
          <w:rFonts w:ascii="Times New Roman" w:hAnsi="Times New Roman" w:cs="Times New Roman"/>
          <w:sz w:val="24"/>
        </w:rPr>
        <w:t>Léčivý</w:t>
      </w:r>
      <w:r w:rsidR="00B775BB" w:rsidRPr="00A555B6">
        <w:rPr>
          <w:rFonts w:ascii="Times New Roman" w:hAnsi="Times New Roman" w:cs="Times New Roman"/>
          <w:sz w:val="24"/>
        </w:rPr>
        <w:t xml:space="preserve"> </w:t>
      </w:r>
      <w:r w:rsidR="00B775BB">
        <w:rPr>
          <w:rFonts w:ascii="Times New Roman" w:hAnsi="Times New Roman" w:cs="Times New Roman"/>
          <w:sz w:val="24"/>
        </w:rPr>
        <w:t>p</w:t>
      </w:r>
      <w:r w:rsidRPr="00A555B6">
        <w:rPr>
          <w:rFonts w:ascii="Times New Roman" w:hAnsi="Times New Roman" w:cs="Times New Roman"/>
          <w:sz w:val="24"/>
        </w:rPr>
        <w:t>řípravek GSK Menveo do kategorie hrazených vakcín nespadá.</w:t>
      </w: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555B6">
        <w:rPr>
          <w:rFonts w:ascii="Times New Roman" w:hAnsi="Times New Roman" w:cs="Times New Roman"/>
          <w:sz w:val="24"/>
        </w:rPr>
        <w:t xml:space="preserve">Tímto objednávám </w:t>
      </w:r>
      <w:r w:rsidR="001A2DF3">
        <w:rPr>
          <w:rFonts w:ascii="Times New Roman" w:hAnsi="Times New Roman" w:cs="Times New Roman"/>
          <w:sz w:val="24"/>
        </w:rPr>
        <w:t xml:space="preserve">léčivý přípravek </w:t>
      </w:r>
      <w:r w:rsidRPr="00A555B6">
        <w:rPr>
          <w:rFonts w:ascii="Times New Roman" w:hAnsi="Times New Roman" w:cs="Times New Roman"/>
          <w:sz w:val="24"/>
        </w:rPr>
        <w:t>Bexsero inj sus 1x0,5 ml+j</w:t>
      </w:r>
      <w:r w:rsidR="001A2DF3">
        <w:rPr>
          <w:rFonts w:ascii="Times New Roman" w:hAnsi="Times New Roman" w:cs="Times New Roman"/>
          <w:sz w:val="24"/>
        </w:rPr>
        <w:t xml:space="preserve"> a potvrzuji, že bude aplikován</w:t>
      </w:r>
      <w:r w:rsidRPr="00A555B6">
        <w:rPr>
          <w:rFonts w:ascii="Times New Roman" w:hAnsi="Times New Roman" w:cs="Times New Roman"/>
          <w:sz w:val="24"/>
        </w:rPr>
        <w:t xml:space="preserve"> v souladu s výše uvedeným paragrafem zákona č. 48/1997 Sb</w:t>
      </w:r>
      <w:r w:rsidR="001A2DF3">
        <w:rPr>
          <w:rFonts w:ascii="Times New Roman" w:hAnsi="Times New Roman" w:cs="Times New Roman"/>
          <w:sz w:val="24"/>
        </w:rPr>
        <w:t>.,</w:t>
      </w:r>
      <w:r w:rsidR="001A2DF3" w:rsidRPr="001A2DF3">
        <w:rPr>
          <w:rFonts w:ascii="Times New Roman" w:hAnsi="Times New Roman" w:cs="Times New Roman"/>
          <w:sz w:val="24"/>
        </w:rPr>
        <w:t xml:space="preserve"> </w:t>
      </w:r>
      <w:r w:rsidR="001A2DF3" w:rsidRPr="00A555B6">
        <w:rPr>
          <w:rFonts w:ascii="Times New Roman" w:hAnsi="Times New Roman" w:cs="Times New Roman"/>
          <w:sz w:val="24"/>
        </w:rPr>
        <w:t>o veřejném zdravotním pojištění</w:t>
      </w:r>
      <w:r w:rsidR="001A2DF3">
        <w:rPr>
          <w:rFonts w:ascii="Times New Roman" w:hAnsi="Times New Roman" w:cs="Times New Roman"/>
          <w:sz w:val="24"/>
        </w:rPr>
        <w:t xml:space="preserve">, </w:t>
      </w:r>
      <w:r w:rsidR="001A2DF3" w:rsidRPr="00A555B6">
        <w:rPr>
          <w:rFonts w:ascii="Times New Roman" w:hAnsi="Times New Roman" w:cs="Times New Roman"/>
          <w:sz w:val="24"/>
        </w:rPr>
        <w:t>ve znění účinném od 1.</w:t>
      </w:r>
      <w:r w:rsidR="00187BAC">
        <w:rPr>
          <w:rFonts w:ascii="Times New Roman" w:hAnsi="Times New Roman" w:cs="Times New Roman"/>
          <w:sz w:val="24"/>
        </w:rPr>
        <w:t xml:space="preserve"> </w:t>
      </w:r>
      <w:r w:rsidR="001A2DF3" w:rsidRPr="00A555B6">
        <w:rPr>
          <w:rFonts w:ascii="Times New Roman" w:hAnsi="Times New Roman" w:cs="Times New Roman"/>
          <w:sz w:val="24"/>
        </w:rPr>
        <w:t>1.</w:t>
      </w:r>
      <w:r w:rsidR="00187BAC">
        <w:rPr>
          <w:rFonts w:ascii="Times New Roman" w:hAnsi="Times New Roman" w:cs="Times New Roman"/>
          <w:sz w:val="24"/>
        </w:rPr>
        <w:t xml:space="preserve"> </w:t>
      </w:r>
      <w:r w:rsidR="001A2DF3" w:rsidRPr="00A555B6">
        <w:rPr>
          <w:rFonts w:ascii="Times New Roman" w:hAnsi="Times New Roman" w:cs="Times New Roman"/>
          <w:sz w:val="24"/>
        </w:rPr>
        <w:t>2018</w:t>
      </w:r>
      <w:r w:rsidRPr="00A555B6">
        <w:rPr>
          <w:rFonts w:ascii="Times New Roman" w:hAnsi="Times New Roman" w:cs="Times New Roman"/>
          <w:sz w:val="24"/>
        </w:rPr>
        <w:t>.</w:t>
      </w: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tbl>
      <w:tblPr>
        <w:tblW w:w="1080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020"/>
        <w:gridCol w:w="2487"/>
        <w:gridCol w:w="2799"/>
        <w:gridCol w:w="2250"/>
      </w:tblGrid>
      <w:tr w:rsidR="000429B5" w:rsidRPr="00A555B6" w:rsidTr="00352038">
        <w:trPr>
          <w:trHeight w:val="29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IČO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Název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Adresa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Emailová adresa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Distributor</w:t>
            </w:r>
          </w:p>
        </w:tc>
      </w:tr>
      <w:tr w:rsidR="000429B5" w:rsidRPr="00A555B6" w:rsidTr="00352038">
        <w:trPr>
          <w:trHeight w:val="113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429B5" w:rsidRPr="00A555B6" w:rsidRDefault="000429B5" w:rsidP="003520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0429B5" w:rsidRPr="00A555B6" w:rsidRDefault="000429B5" w:rsidP="003520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29B5" w:rsidRPr="00A555B6" w:rsidRDefault="000429B5" w:rsidP="003520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429B5" w:rsidRPr="00A555B6" w:rsidRDefault="000429B5" w:rsidP="003520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429B5" w:rsidRPr="00A555B6" w:rsidRDefault="000429B5" w:rsidP="003520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29B5" w:rsidRPr="00A555B6" w:rsidRDefault="008D7572" w:rsidP="003520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F71A5">
              <w:rPr>
                <w:rFonts w:ascii="Candara" w:hAnsi="Candara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6DD0689C" wp14:editId="6F4A24D3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-3653155</wp:posOffset>
                      </wp:positionV>
                      <wp:extent cx="1257300" cy="986155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86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572" w:rsidRPr="008D7572" w:rsidRDefault="008D7572" w:rsidP="008D7572">
                                  <w:pPr>
                                    <w:pStyle w:val="normln"/>
                                    <w:spacing w:line="240" w:lineRule="auto"/>
                                    <w:rPr>
                                      <w:rStyle w:val="normln1"/>
                                      <w:rFonts w:ascii="Times New Roman" w:hAnsi="Times New Roman" w:cs="Times New Roman"/>
                                      <w:b/>
                                      <w:color w:val="917A68"/>
                                      <w:sz w:val="15"/>
                                      <w:szCs w:val="15"/>
                                    </w:rPr>
                                  </w:pP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b/>
                                      <w:color w:val="917A68"/>
                                      <w:sz w:val="15"/>
                                      <w:szCs w:val="15"/>
                                    </w:rPr>
                                    <w:t>GSK</w:t>
                                  </w:r>
                                </w:p>
                                <w:p w:rsidR="008D7572" w:rsidRPr="008D7572" w:rsidRDefault="008D7572" w:rsidP="008D7572">
                                  <w:pPr>
                                    <w:pStyle w:val="Footer"/>
                                    <w:spacing w:after="0"/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</w:pP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  <w:t>Hvězdova 1734/2c</w:t>
                                  </w:r>
                                </w:p>
                                <w:p w:rsidR="008D7572" w:rsidRPr="008D7572" w:rsidRDefault="008D7572" w:rsidP="008D7572">
                                  <w:pPr>
                                    <w:pStyle w:val="Footer"/>
                                    <w:spacing w:after="0"/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</w:pP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  <w:t>140 00  Praha 4</w:t>
                                  </w:r>
                                </w:p>
                                <w:p w:rsidR="008D7572" w:rsidRPr="008D7572" w:rsidRDefault="008D7572" w:rsidP="008D7572">
                                  <w:pPr>
                                    <w:pStyle w:val="Footer"/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</w:pP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  <w:t>Czech Republic</w:t>
                                  </w:r>
                                </w:p>
                                <w:p w:rsidR="008D7572" w:rsidRPr="008D7572" w:rsidRDefault="008D7572" w:rsidP="008D7572">
                                  <w:pPr>
                                    <w:pStyle w:val="normln"/>
                                    <w:tabs>
                                      <w:tab w:val="left" w:pos="320"/>
                                    </w:tabs>
                                    <w:spacing w:line="240" w:lineRule="auto"/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pacing w:val="-15"/>
                                      <w:sz w:val="15"/>
                                      <w:szCs w:val="15"/>
                                    </w:rPr>
                                  </w:pP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  <w:t>Tel.</w:t>
                                  </w: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  <w:tab/>
                                    <w:t>+420 222 00</w:t>
                                  </w: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pacing w:val="-15"/>
                                      <w:sz w:val="15"/>
                                      <w:szCs w:val="15"/>
                                    </w:rPr>
                                    <w:t>1 111</w:t>
                                  </w:r>
                                </w:p>
                                <w:p w:rsidR="008D7572" w:rsidRPr="008D7572" w:rsidRDefault="008D7572" w:rsidP="008D7572">
                                  <w:pPr>
                                    <w:pStyle w:val="normln"/>
                                    <w:tabs>
                                      <w:tab w:val="left" w:pos="320"/>
                                    </w:tabs>
                                    <w:spacing w:line="240" w:lineRule="auto"/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</w:pP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  <w:t>Fax.</w:t>
                                  </w: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  <w:tab/>
                                    <w:t>+420 222 001 444</w:t>
                                  </w:r>
                                </w:p>
                                <w:p w:rsidR="008D7572" w:rsidRPr="008D7572" w:rsidRDefault="008D7572" w:rsidP="008D757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D7572">
                                    <w:rPr>
                                      <w:rStyle w:val="normln1"/>
                                      <w:rFonts w:ascii="Times New Roman" w:hAnsi="Times New Roman" w:cs="Times New Roman"/>
                                      <w:color w:val="917A68"/>
                                      <w:sz w:val="15"/>
                                      <w:szCs w:val="15"/>
                                    </w:rPr>
                                    <w:t>www.gsk.cz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D068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40.55pt;margin-top:-287.65pt;width:99pt;height:77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" stroked="f">
                      <v:textbox style="mso-fit-shape-to-text:t">
                        <w:txbxContent>
                          <w:p w:rsidR="008D7572" w:rsidRPr="008D7572" w:rsidRDefault="008D7572" w:rsidP="008D7572">
                            <w:pPr>
                              <w:pStyle w:val="normln"/>
                              <w:spacing w:line="240" w:lineRule="auto"/>
                              <w:rPr>
                                <w:rStyle w:val="normln1"/>
                                <w:rFonts w:ascii="Times New Roman" w:hAnsi="Times New Roman" w:cs="Times New Roman"/>
                                <w:b/>
                                <w:color w:val="917A68"/>
                                <w:sz w:val="15"/>
                                <w:szCs w:val="15"/>
                              </w:rPr>
                            </w:pP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b/>
                                <w:color w:val="917A68"/>
                                <w:sz w:val="15"/>
                                <w:szCs w:val="15"/>
                              </w:rPr>
                              <w:t>GSK</w:t>
                            </w:r>
                          </w:p>
                          <w:p w:rsidR="008D7572" w:rsidRPr="008D7572" w:rsidRDefault="008D7572" w:rsidP="008D7572">
                            <w:pPr>
                              <w:pStyle w:val="Footer"/>
                              <w:spacing w:after="0"/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</w:pP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  <w:t>Hvězdova 1734/2c</w:t>
                            </w:r>
                          </w:p>
                          <w:p w:rsidR="008D7572" w:rsidRPr="008D7572" w:rsidRDefault="008D7572" w:rsidP="008D7572">
                            <w:pPr>
                              <w:pStyle w:val="Footer"/>
                              <w:spacing w:after="0"/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</w:pP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  <w:t>140 00  Praha 4</w:t>
                            </w:r>
                          </w:p>
                          <w:p w:rsidR="008D7572" w:rsidRPr="008D7572" w:rsidRDefault="008D7572" w:rsidP="008D7572">
                            <w:pPr>
                              <w:pStyle w:val="Footer"/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</w:pP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  <w:t>Czech Republic</w:t>
                            </w:r>
                          </w:p>
                          <w:p w:rsidR="008D7572" w:rsidRPr="008D7572" w:rsidRDefault="008D7572" w:rsidP="008D7572">
                            <w:pPr>
                              <w:pStyle w:val="normln"/>
                              <w:tabs>
                                <w:tab w:val="left" w:pos="320"/>
                              </w:tabs>
                              <w:spacing w:line="240" w:lineRule="auto"/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pacing w:val="-15"/>
                                <w:sz w:val="15"/>
                                <w:szCs w:val="15"/>
                              </w:rPr>
                            </w:pP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  <w:t>Tel.</w:t>
                            </w: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  <w:tab/>
                              <w:t>+420 222 00</w:t>
                            </w: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pacing w:val="-15"/>
                                <w:sz w:val="15"/>
                                <w:szCs w:val="15"/>
                              </w:rPr>
                              <w:t>1 111</w:t>
                            </w:r>
                          </w:p>
                          <w:p w:rsidR="008D7572" w:rsidRPr="008D7572" w:rsidRDefault="008D7572" w:rsidP="008D7572">
                            <w:pPr>
                              <w:pStyle w:val="normln"/>
                              <w:tabs>
                                <w:tab w:val="left" w:pos="320"/>
                              </w:tabs>
                              <w:spacing w:line="240" w:lineRule="auto"/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</w:pP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  <w:t>Fax.</w:t>
                            </w: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  <w:tab/>
                              <w:t>+420 222 001 444</w:t>
                            </w:r>
                          </w:p>
                          <w:p w:rsidR="008D7572" w:rsidRPr="008D7572" w:rsidRDefault="008D7572" w:rsidP="008D75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7572">
                              <w:rPr>
                                <w:rStyle w:val="normln1"/>
                                <w:rFonts w:ascii="Times New Roman" w:hAnsi="Times New Roman" w:cs="Times New Roman"/>
                                <w:color w:val="917A68"/>
                                <w:sz w:val="15"/>
                                <w:szCs w:val="15"/>
                              </w:rPr>
                              <w:t>www.gsk.cz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29B5" w:rsidRPr="00A555B6" w:rsidRDefault="000429B5" w:rsidP="0035203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2694"/>
        <w:gridCol w:w="2503"/>
      </w:tblGrid>
      <w:tr w:rsidR="000429B5" w:rsidRPr="00A555B6" w:rsidTr="00352038">
        <w:trPr>
          <w:trHeight w:val="31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SÚKL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Název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Doplněk názvu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Stanovená výše úhrady (Kč/bal)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Počet objednávaných balení</w:t>
            </w:r>
          </w:p>
        </w:tc>
      </w:tr>
      <w:tr w:rsidR="000429B5" w:rsidRPr="00A555B6" w:rsidTr="00352038">
        <w:trPr>
          <w:trHeight w:val="514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hAnsi="Times New Roman" w:cs="Times New Roman"/>
                <w:sz w:val="24"/>
              </w:rPr>
              <w:t>0193805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Bexsero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hAnsi="Times New Roman" w:cs="Times New Roman"/>
                <w:sz w:val="24"/>
              </w:rPr>
              <w:t>INJ SUS ISP 1X0,5ML+j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55B6">
              <w:rPr>
                <w:rFonts w:ascii="Times New Roman" w:eastAsia="Times New Roman" w:hAnsi="Times New Roman" w:cs="Times New Roman"/>
                <w:sz w:val="24"/>
              </w:rPr>
              <w:t>2463,54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0429B5" w:rsidRPr="00A555B6" w:rsidRDefault="000429B5" w:rsidP="003520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0429B5" w:rsidRPr="00A555B6" w:rsidRDefault="000429B5" w:rsidP="00042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566D27" w:rsidRDefault="00A555B6" w:rsidP="00A555B6">
      <w:pPr>
        <w:jc w:val="both"/>
      </w:pPr>
      <w:r w:rsidRPr="00A555B6">
        <w:rPr>
          <w:rFonts w:ascii="Times New Roman" w:hAnsi="Times New Roman" w:cs="Times New Roman"/>
          <w:sz w:val="24"/>
        </w:rPr>
        <w:t xml:space="preserve">Abychom mohli Vaši objednávku vyřídit, GlaxoSmithKline, s.r.o. (dále jen „my“) musí zaznamenat a uchovat osobní údaje, které jste nám zde poskytl/a. Mezi tyto údaje patří jméno a kontaktní údaje jako je adresa, e-mailová adresa či telefonní číslo. Tyto údaje budeme zpracovávat  v souladu s právními předpisy na ochranu osobních údajů výhradně za účelem vyřízení Vaší objednávky, plnění našich právních povinností a našich legitimních zájmů. </w:t>
      </w:r>
      <w:r w:rsidRPr="00A95CC1">
        <w:rPr>
          <w:rFonts w:ascii="Times New Roman" w:hAnsi="Times New Roman" w:cs="Times New Roman"/>
          <w:sz w:val="24"/>
          <w:szCs w:val="24"/>
        </w:rPr>
        <w:t>Podrobnější informace o zpracování Vašich osobních údajů</w:t>
      </w:r>
      <w:r w:rsidR="00B775BB" w:rsidRPr="00A95CC1">
        <w:rPr>
          <w:rFonts w:ascii="Times New Roman" w:hAnsi="Times New Roman" w:cs="Times New Roman"/>
          <w:sz w:val="24"/>
          <w:szCs w:val="24"/>
        </w:rPr>
        <w:t xml:space="preserve"> včetně Vašich práv</w:t>
      </w:r>
      <w:r w:rsidRPr="00A95CC1">
        <w:rPr>
          <w:rFonts w:ascii="Times New Roman" w:hAnsi="Times New Roman" w:cs="Times New Roman"/>
          <w:sz w:val="24"/>
          <w:szCs w:val="24"/>
        </w:rPr>
        <w:t xml:space="preserve"> jsou k dispozici zde </w:t>
      </w:r>
      <w:hyperlink r:id="rId8" w:history="1">
        <w:r w:rsidR="00566D27" w:rsidRPr="00A95CC1">
          <w:rPr>
            <w:rStyle w:val="Hyperlink"/>
            <w:rFonts w:ascii="Times New Roman" w:hAnsi="Times New Roman" w:cs="Times New Roman"/>
            <w:sz w:val="24"/>
            <w:szCs w:val="24"/>
          </w:rPr>
          <w:t>http://cz.gsk.com/cs-cz/prohlaseni-o-ochrane-soukromi/</w:t>
        </w:r>
      </w:hyperlink>
      <w:r w:rsidR="00566D27" w:rsidRPr="00A95CC1">
        <w:rPr>
          <w:rFonts w:ascii="Times New Roman" w:hAnsi="Times New Roman" w:cs="Times New Roman"/>
          <w:sz w:val="24"/>
          <w:szCs w:val="24"/>
        </w:rPr>
        <w:t>.</w:t>
      </w:r>
    </w:p>
    <w:p w:rsidR="00A555B6" w:rsidRPr="00A555B6" w:rsidRDefault="00A555B6" w:rsidP="00A555B6">
      <w:pPr>
        <w:jc w:val="both"/>
        <w:rPr>
          <w:rFonts w:ascii="Times New Roman" w:hAnsi="Times New Roman" w:cs="Times New Roman"/>
          <w:sz w:val="24"/>
        </w:rPr>
      </w:pPr>
    </w:p>
    <w:p w:rsidR="00A555B6" w:rsidRPr="00A555B6" w:rsidRDefault="00A555B6" w:rsidP="00A555B6">
      <w:pPr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A555B6">
      <w:pPr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A555B6">
      <w:pPr>
        <w:jc w:val="both"/>
        <w:rPr>
          <w:rFonts w:ascii="Times New Roman" w:hAnsi="Times New Roman" w:cs="Times New Roman"/>
          <w:sz w:val="24"/>
        </w:rPr>
      </w:pPr>
      <w:r w:rsidRPr="00A555B6">
        <w:rPr>
          <w:rFonts w:ascii="Times New Roman" w:hAnsi="Times New Roman" w:cs="Times New Roman"/>
          <w:sz w:val="24"/>
        </w:rPr>
        <w:t>V …………… dne ……………..</w:t>
      </w:r>
    </w:p>
    <w:p w:rsidR="000429B5" w:rsidRPr="00A555B6" w:rsidRDefault="000429B5" w:rsidP="00A555B6">
      <w:pPr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A555B6">
      <w:pPr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A555B6">
      <w:pPr>
        <w:jc w:val="both"/>
        <w:rPr>
          <w:rFonts w:ascii="Times New Roman" w:hAnsi="Times New Roman" w:cs="Times New Roman"/>
          <w:sz w:val="24"/>
        </w:rPr>
      </w:pPr>
      <w:r w:rsidRPr="00A555B6">
        <w:rPr>
          <w:rFonts w:ascii="Times New Roman" w:hAnsi="Times New Roman" w:cs="Times New Roman"/>
          <w:sz w:val="24"/>
        </w:rPr>
        <w:t>Podpis</w:t>
      </w:r>
    </w:p>
    <w:p w:rsidR="000429B5" w:rsidRPr="00A555B6" w:rsidRDefault="000429B5" w:rsidP="00A555B6">
      <w:pPr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A555B6">
      <w:pPr>
        <w:jc w:val="both"/>
        <w:rPr>
          <w:rFonts w:ascii="Times New Roman" w:hAnsi="Times New Roman" w:cs="Times New Roman"/>
          <w:sz w:val="24"/>
        </w:rPr>
      </w:pPr>
      <w:r w:rsidRPr="00A555B6">
        <w:rPr>
          <w:rFonts w:ascii="Times New Roman" w:hAnsi="Times New Roman" w:cs="Times New Roman"/>
          <w:sz w:val="24"/>
        </w:rPr>
        <w:t>…………………….</w:t>
      </w:r>
    </w:p>
    <w:p w:rsidR="000429B5" w:rsidRPr="00A555B6" w:rsidRDefault="000429B5" w:rsidP="00A555B6">
      <w:pPr>
        <w:jc w:val="both"/>
        <w:rPr>
          <w:rFonts w:ascii="Times New Roman" w:hAnsi="Times New Roman" w:cs="Times New Roman"/>
          <w:sz w:val="24"/>
        </w:rPr>
      </w:pPr>
      <w:r w:rsidRPr="00A555B6">
        <w:rPr>
          <w:rFonts w:ascii="Times New Roman" w:hAnsi="Times New Roman" w:cs="Times New Roman"/>
          <w:sz w:val="24"/>
        </w:rPr>
        <w:t>MUDr.</w:t>
      </w:r>
    </w:p>
    <w:p w:rsidR="000429B5" w:rsidRPr="00A555B6" w:rsidRDefault="000429B5" w:rsidP="000429B5">
      <w:pPr>
        <w:jc w:val="both"/>
        <w:rPr>
          <w:rFonts w:ascii="Times New Roman" w:hAnsi="Times New Roman" w:cs="Times New Roman"/>
          <w:sz w:val="24"/>
        </w:rPr>
      </w:pPr>
    </w:p>
    <w:p w:rsidR="000429B5" w:rsidRPr="00A555B6" w:rsidRDefault="000429B5" w:rsidP="00A555B6">
      <w:pPr>
        <w:jc w:val="both"/>
        <w:rPr>
          <w:rFonts w:ascii="Times New Roman" w:hAnsi="Times New Roman" w:cs="Times New Roman"/>
          <w:sz w:val="24"/>
        </w:rPr>
      </w:pPr>
    </w:p>
    <w:sectPr w:rsidR="000429B5" w:rsidRPr="00A555B6" w:rsidSect="00665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B7"/>
    <w:multiLevelType w:val="hybridMultilevel"/>
    <w:tmpl w:val="D06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1D"/>
    <w:rsid w:val="000429B5"/>
    <w:rsid w:val="00107117"/>
    <w:rsid w:val="0014315C"/>
    <w:rsid w:val="00187BAC"/>
    <w:rsid w:val="00190465"/>
    <w:rsid w:val="001A2DF3"/>
    <w:rsid w:val="002239AB"/>
    <w:rsid w:val="003027D3"/>
    <w:rsid w:val="00436DB5"/>
    <w:rsid w:val="004D05C5"/>
    <w:rsid w:val="005460AD"/>
    <w:rsid w:val="00566D27"/>
    <w:rsid w:val="0066584F"/>
    <w:rsid w:val="006E274A"/>
    <w:rsid w:val="008078D1"/>
    <w:rsid w:val="008D7572"/>
    <w:rsid w:val="00980B30"/>
    <w:rsid w:val="009D08D5"/>
    <w:rsid w:val="009E4CD1"/>
    <w:rsid w:val="00A555B6"/>
    <w:rsid w:val="00A95CC1"/>
    <w:rsid w:val="00B775BB"/>
    <w:rsid w:val="00B85B1D"/>
    <w:rsid w:val="00C52FBE"/>
    <w:rsid w:val="00C7262E"/>
    <w:rsid w:val="00E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AC42-B030-4035-9802-14B005C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7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84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55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B6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8D7572"/>
    <w:pPr>
      <w:tabs>
        <w:tab w:val="center" w:pos="4680"/>
        <w:tab w:val="right" w:pos="9360"/>
      </w:tabs>
      <w:spacing w:after="200"/>
    </w:pPr>
    <w:rPr>
      <w:rFonts w:asciiTheme="minorHAnsi" w:hAnsiTheme="minorHAnsi" w:cstheme="minorBidi"/>
      <w:color w:val="323E4F" w:themeColor="text2" w:themeShade="BF"/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8D7572"/>
    <w:rPr>
      <w:color w:val="323E4F" w:themeColor="text2" w:themeShade="BF"/>
      <w:sz w:val="20"/>
      <w:szCs w:val="20"/>
      <w:lang w:eastAsia="cs-CZ"/>
    </w:rPr>
  </w:style>
  <w:style w:type="paragraph" w:customStyle="1" w:styleId="normln">
    <w:name w:val="normální"/>
    <w:basedOn w:val="Normal"/>
    <w:uiPriority w:val="99"/>
    <w:rsid w:val="008D7572"/>
    <w:pPr>
      <w:autoSpaceDE w:val="0"/>
      <w:autoSpaceDN w:val="0"/>
      <w:adjustRightInd w:val="0"/>
      <w:spacing w:line="288" w:lineRule="auto"/>
      <w:textAlignment w:val="center"/>
    </w:pPr>
    <w:rPr>
      <w:rFonts w:ascii="Helvetica (TT)" w:hAnsi="Helvetica (TT)" w:cs="Helvetica (TT)"/>
      <w:color w:val="000000"/>
      <w:sz w:val="24"/>
      <w:szCs w:val="24"/>
      <w:lang w:val="en-GB" w:eastAsia="cs-CZ"/>
    </w:rPr>
  </w:style>
  <w:style w:type="character" w:customStyle="1" w:styleId="normln1">
    <w:name w:val="normální1"/>
    <w:uiPriority w:val="99"/>
    <w:rsid w:val="008D7572"/>
    <w:rPr>
      <w:rFonts w:ascii="Helvetica (TT) Regular" w:hAnsi="Helvetica (TT) Regular" w:cs="Helvetica (TT) Regular"/>
      <w:color w:val="000000"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.gsk.com/cs-cz/prohlaseni-o-ochrane-soukrom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N2tCylOTbAhUHbFAKHVA-DCoQjRx6BAgBEAU&amp;url=https://en.wikipedia.org/wiki/GlaxoSmithKline&amp;psig=AOvVaw1ASoVPqzhkTc_e6EM8LiMb&amp;ust=15296499854638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1578-6C09-45B9-A27E-426FC156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Holasek Partners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Kuta</dc:creator>
  <cp:lastModifiedBy>Petra Kacerova</cp:lastModifiedBy>
  <cp:revision>2</cp:revision>
  <dcterms:created xsi:type="dcterms:W3CDTF">2018-07-23T18:34:00Z</dcterms:created>
  <dcterms:modified xsi:type="dcterms:W3CDTF">2018-07-23T18:34:00Z</dcterms:modified>
</cp:coreProperties>
</file>